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4862" w14:textId="5C2D1CB4" w:rsidR="00A9721F" w:rsidRPr="00A84CF2" w:rsidRDefault="00A9721F" w:rsidP="00A9721F">
      <w:pPr>
        <w:spacing w:after="0"/>
        <w:rPr>
          <w:b/>
          <w:bCs/>
          <w:sz w:val="20"/>
          <w:szCs w:val="20"/>
        </w:rPr>
      </w:pPr>
      <w:r w:rsidRPr="00A84CF2">
        <w:rPr>
          <w:b/>
          <w:bCs/>
          <w:sz w:val="20"/>
          <w:szCs w:val="20"/>
        </w:rPr>
        <w:t xml:space="preserve">PRE-QUALIFICATION OF </w:t>
      </w:r>
      <w:r w:rsidR="00A84CF2" w:rsidRPr="00A84CF2">
        <w:rPr>
          <w:b/>
          <w:bCs/>
          <w:sz w:val="20"/>
          <w:szCs w:val="20"/>
        </w:rPr>
        <w:t>CONSULTANTS FOR</w:t>
      </w:r>
      <w:r w:rsidRPr="00A84CF2">
        <w:rPr>
          <w:b/>
          <w:bCs/>
          <w:sz w:val="20"/>
          <w:szCs w:val="20"/>
        </w:rPr>
        <w:t xml:space="preserve"> THE DEVELOPMENT OF WAREHOUSE AND LOGISTICS </w:t>
      </w:r>
      <w:r w:rsidR="0055599D" w:rsidRPr="00A84CF2">
        <w:rPr>
          <w:b/>
          <w:bCs/>
          <w:sz w:val="20"/>
          <w:szCs w:val="20"/>
        </w:rPr>
        <w:t xml:space="preserve">POLICIES AND </w:t>
      </w:r>
      <w:r w:rsidRPr="00A84CF2">
        <w:rPr>
          <w:b/>
          <w:bCs/>
          <w:sz w:val="20"/>
          <w:szCs w:val="20"/>
        </w:rPr>
        <w:t xml:space="preserve">PROCEDURES </w:t>
      </w:r>
    </w:p>
    <w:p w14:paraId="0EE2CDD7" w14:textId="77777777" w:rsidR="00A9721F" w:rsidRPr="00A84CF2" w:rsidRDefault="00A9721F" w:rsidP="00A9721F">
      <w:pPr>
        <w:jc w:val="center"/>
        <w:rPr>
          <w:sz w:val="20"/>
          <w:szCs w:val="20"/>
          <w:u w:val="single"/>
        </w:rPr>
      </w:pPr>
      <w:r w:rsidRPr="00A84CF2">
        <w:rPr>
          <w:b/>
          <w:bCs/>
          <w:sz w:val="20"/>
          <w:szCs w:val="20"/>
        </w:rPr>
        <w:t xml:space="preserve"> </w:t>
      </w:r>
    </w:p>
    <w:p w14:paraId="73CB6FE2" w14:textId="6D7817D6" w:rsidR="00A9721F" w:rsidRPr="00A84CF2" w:rsidRDefault="00A9721F" w:rsidP="00453554">
      <w:pPr>
        <w:spacing w:after="0"/>
        <w:rPr>
          <w:b/>
          <w:bCs/>
          <w:sz w:val="20"/>
          <w:szCs w:val="20"/>
        </w:rPr>
      </w:pPr>
      <w:r w:rsidRPr="00A84CF2">
        <w:rPr>
          <w:b/>
          <w:bCs/>
          <w:color w:val="000000"/>
          <w:sz w:val="20"/>
          <w:szCs w:val="20"/>
        </w:rPr>
        <w:t>Qatar Electricity and Water Company Q.P.S.C</w:t>
      </w:r>
      <w:r w:rsidRPr="00A84CF2">
        <w:rPr>
          <w:color w:val="000000"/>
          <w:sz w:val="20"/>
          <w:szCs w:val="20"/>
        </w:rPr>
        <w:t xml:space="preserve"> is inviting Leading Consultants registered in the State of Qatar to submit pre-qualification documents for </w:t>
      </w:r>
      <w:r w:rsidR="00453554" w:rsidRPr="00A84CF2">
        <w:rPr>
          <w:b/>
          <w:bCs/>
          <w:sz w:val="20"/>
          <w:szCs w:val="20"/>
        </w:rPr>
        <w:t>THE DEVELOPMENT OF WAREHOUSE AND LOGISTICS POLICIES AND PROCEDURES.</w:t>
      </w:r>
    </w:p>
    <w:p w14:paraId="708F0F55" w14:textId="77777777" w:rsidR="00453554" w:rsidRPr="00A84CF2" w:rsidRDefault="00453554" w:rsidP="00453554">
      <w:pPr>
        <w:spacing w:after="0"/>
        <w:rPr>
          <w:b/>
          <w:bCs/>
          <w:sz w:val="20"/>
          <w:szCs w:val="20"/>
        </w:rPr>
      </w:pPr>
    </w:p>
    <w:p w14:paraId="52979558" w14:textId="77777777" w:rsidR="00A9721F" w:rsidRPr="00A84CF2" w:rsidRDefault="00A9721F" w:rsidP="00A9721F">
      <w:pPr>
        <w:jc w:val="both"/>
        <w:rPr>
          <w:sz w:val="20"/>
          <w:szCs w:val="20"/>
        </w:rPr>
      </w:pPr>
      <w:r w:rsidRPr="00A84CF2">
        <w:rPr>
          <w:sz w:val="20"/>
          <w:szCs w:val="20"/>
        </w:rPr>
        <w:t>QEWC is the main supplier of electricity and desalinated water in Qatar. The company operates a complex network of warehouses, logistic systems, and supply chain operations that support generation, transmission, distribution, project execution, and maintenance activities.</w:t>
      </w:r>
    </w:p>
    <w:p w14:paraId="3D601029" w14:textId="38788F6D" w:rsidR="00A9721F" w:rsidRPr="00A84CF2" w:rsidRDefault="00A9721F" w:rsidP="00A9721F">
      <w:pPr>
        <w:jc w:val="both"/>
        <w:rPr>
          <w:sz w:val="20"/>
          <w:szCs w:val="20"/>
        </w:rPr>
      </w:pPr>
      <w:r w:rsidRPr="00A84CF2">
        <w:rPr>
          <w:sz w:val="20"/>
          <w:szCs w:val="20"/>
        </w:rPr>
        <w:t xml:space="preserve">As part of an organizational initiative to enhance governance, efficiency, and compliance, the Supply Chain Management intends to commission a professional policy-writing firm to develop comprehensive, standardized, and implementable Warehouse and Logistics Policies and Procedures that are tailored to the company's operational model, industry, and regulatory environment. The new organizational chart which took effect in August 2024 moved the warehouse section under supply chain department, and a new section was created with the name of logistics, also placed under the supply chain department. The warehouse did have a policy and guidelines; however, this needs intense review and update. However, since the logistics section is new and did not exist prior to the new organizational chart, no policies or guidelines exist to regulate the activities of this section. </w:t>
      </w:r>
    </w:p>
    <w:p w14:paraId="1424E18E" w14:textId="77777777" w:rsidR="00A84CF2" w:rsidRPr="00A84CF2" w:rsidRDefault="00A84CF2" w:rsidP="00A84CF2">
      <w:pPr>
        <w:rPr>
          <w:b/>
          <w:bCs/>
          <w:sz w:val="20"/>
          <w:szCs w:val="20"/>
        </w:rPr>
      </w:pPr>
      <w:r w:rsidRPr="00A84CF2">
        <w:rPr>
          <w:b/>
          <w:bCs/>
          <w:sz w:val="20"/>
          <w:szCs w:val="20"/>
        </w:rPr>
        <w:t>2. Objective</w:t>
      </w:r>
    </w:p>
    <w:p w14:paraId="65EDB8BC" w14:textId="77777777" w:rsidR="00A84CF2" w:rsidRPr="00A84CF2" w:rsidRDefault="00A84CF2" w:rsidP="00A84CF2">
      <w:pPr>
        <w:jc w:val="both"/>
        <w:rPr>
          <w:sz w:val="20"/>
          <w:szCs w:val="20"/>
        </w:rPr>
      </w:pPr>
      <w:r w:rsidRPr="00A84CF2">
        <w:rPr>
          <w:sz w:val="20"/>
          <w:szCs w:val="20"/>
        </w:rPr>
        <w:t>To engage an eligible service provider to develop two distinct policy and procedure documents covering:</w:t>
      </w:r>
    </w:p>
    <w:p w14:paraId="6BD4EE51" w14:textId="77777777" w:rsidR="00A84CF2" w:rsidRPr="00A84CF2" w:rsidRDefault="00A84CF2" w:rsidP="00A84CF2">
      <w:pPr>
        <w:pStyle w:val="ListParagraph"/>
        <w:numPr>
          <w:ilvl w:val="0"/>
          <w:numId w:val="2"/>
        </w:numPr>
        <w:rPr>
          <w:sz w:val="20"/>
          <w:szCs w:val="20"/>
        </w:rPr>
      </w:pPr>
      <w:r w:rsidRPr="00A84CF2">
        <w:rPr>
          <w:sz w:val="20"/>
          <w:szCs w:val="20"/>
        </w:rPr>
        <w:t>Warehouse Operations</w:t>
      </w:r>
    </w:p>
    <w:p w14:paraId="62C79A73" w14:textId="77777777" w:rsidR="00A84CF2" w:rsidRPr="00A84CF2" w:rsidRDefault="00A84CF2" w:rsidP="00A84CF2">
      <w:pPr>
        <w:pStyle w:val="ListParagraph"/>
        <w:numPr>
          <w:ilvl w:val="0"/>
          <w:numId w:val="2"/>
        </w:numPr>
        <w:rPr>
          <w:sz w:val="20"/>
          <w:szCs w:val="20"/>
        </w:rPr>
      </w:pPr>
      <w:r w:rsidRPr="00A84CF2">
        <w:rPr>
          <w:sz w:val="20"/>
          <w:szCs w:val="20"/>
        </w:rPr>
        <w:t>Logistics Operations</w:t>
      </w:r>
    </w:p>
    <w:p w14:paraId="20F28D56" w14:textId="0C8B7BC8" w:rsidR="00A84CF2" w:rsidRPr="00A84CF2" w:rsidRDefault="00A84CF2" w:rsidP="00A9721F">
      <w:pPr>
        <w:jc w:val="both"/>
        <w:rPr>
          <w:sz w:val="20"/>
          <w:szCs w:val="20"/>
        </w:rPr>
      </w:pPr>
      <w:r w:rsidRPr="00A84CF2">
        <w:rPr>
          <w:sz w:val="20"/>
          <w:szCs w:val="20"/>
        </w:rPr>
        <w:t>These documents must be developed in accordance with the best international practices (e.g., ISO 27001, ISO 14001, ISO 45001), local regulations, utility-sector standards, and the internal requirements of QEWC.</w:t>
      </w:r>
    </w:p>
    <w:p w14:paraId="4B8A7BCD" w14:textId="042308BE" w:rsidR="00A9721F" w:rsidRPr="00A84CF2" w:rsidRDefault="00A9721F" w:rsidP="00A9721F">
      <w:pPr>
        <w:autoSpaceDE w:val="0"/>
        <w:autoSpaceDN w:val="0"/>
        <w:adjustRightInd w:val="0"/>
        <w:rPr>
          <w:b/>
          <w:bCs/>
          <w:color w:val="000000"/>
          <w:sz w:val="20"/>
          <w:szCs w:val="20"/>
        </w:rPr>
      </w:pPr>
      <w:r w:rsidRPr="00A84CF2">
        <w:rPr>
          <w:color w:val="000000"/>
          <w:sz w:val="20"/>
          <w:szCs w:val="20"/>
        </w:rPr>
        <w:t xml:space="preserve"> </w:t>
      </w:r>
      <w:r w:rsidRPr="00A84CF2">
        <w:rPr>
          <w:b/>
          <w:bCs/>
          <w:color w:val="000000"/>
          <w:sz w:val="20"/>
          <w:szCs w:val="20"/>
        </w:rPr>
        <w:t>The pre-qualification documents must contain the following: -</w:t>
      </w:r>
      <w:r w:rsidRPr="00A84CF2">
        <w:rPr>
          <w:b/>
          <w:bCs/>
          <w:color w:val="000000"/>
          <w:sz w:val="20"/>
          <w:szCs w:val="20"/>
        </w:rPr>
        <w:tab/>
      </w:r>
    </w:p>
    <w:p w14:paraId="1ABC4429" w14:textId="77777777" w:rsidR="00A9721F" w:rsidRPr="00A84CF2" w:rsidRDefault="00A9721F"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Commercial registration</w:t>
      </w:r>
    </w:p>
    <w:p w14:paraId="438FA6D2" w14:textId="77777777" w:rsidR="00A9721F" w:rsidRPr="00A84CF2" w:rsidRDefault="00A9721F"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 xml:space="preserve">Related licenses and certificates </w:t>
      </w:r>
    </w:p>
    <w:p w14:paraId="78FF9C87" w14:textId="77777777" w:rsidR="00A9721F" w:rsidRPr="00A84CF2" w:rsidRDefault="00A9721F"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Corporate Organization Chart</w:t>
      </w:r>
    </w:p>
    <w:p w14:paraId="0124E9DF" w14:textId="77777777" w:rsidR="00A9721F" w:rsidRPr="00A84CF2" w:rsidRDefault="00A9721F"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Financial Statement for the last 3 years</w:t>
      </w:r>
    </w:p>
    <w:p w14:paraId="4EFFC390" w14:textId="77777777" w:rsidR="00A84CF2" w:rsidRPr="00A84CF2" w:rsidRDefault="00A84CF2"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List of clients for whom similar policies and procedures were developed over the past five years</w:t>
      </w:r>
    </w:p>
    <w:p w14:paraId="512EDA41" w14:textId="39FA363E" w:rsidR="00A9721F" w:rsidRPr="00A84CF2" w:rsidRDefault="00A9721F"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 xml:space="preserve">Details of Company’s Health, Safety and Environmental Policy </w:t>
      </w:r>
    </w:p>
    <w:p w14:paraId="0D77CE36" w14:textId="77777777" w:rsidR="00A9721F" w:rsidRPr="00A84CF2" w:rsidRDefault="00A9721F"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Company Profile</w:t>
      </w:r>
    </w:p>
    <w:p w14:paraId="482EAC7B" w14:textId="77777777" w:rsidR="00A9721F" w:rsidRPr="00A84CF2" w:rsidRDefault="00A9721F" w:rsidP="00A9721F">
      <w:pPr>
        <w:numPr>
          <w:ilvl w:val="0"/>
          <w:numId w:val="1"/>
        </w:numPr>
        <w:tabs>
          <w:tab w:val="left" w:pos="720"/>
        </w:tabs>
        <w:autoSpaceDE w:val="0"/>
        <w:autoSpaceDN w:val="0"/>
        <w:adjustRightInd w:val="0"/>
        <w:spacing w:after="0" w:line="240" w:lineRule="auto"/>
        <w:ind w:left="360" w:hanging="360"/>
        <w:rPr>
          <w:color w:val="000000"/>
          <w:sz w:val="20"/>
          <w:szCs w:val="20"/>
        </w:rPr>
      </w:pPr>
      <w:r w:rsidRPr="00A84CF2">
        <w:rPr>
          <w:color w:val="000000"/>
          <w:sz w:val="20"/>
          <w:szCs w:val="20"/>
        </w:rPr>
        <w:t>RAF Contractor Health and Safety Qualification Form duly filled in and signed.</w:t>
      </w:r>
    </w:p>
    <w:p w14:paraId="419BD3BC" w14:textId="77777777" w:rsidR="00A9721F" w:rsidRPr="00A84CF2" w:rsidRDefault="00A9721F" w:rsidP="00A9721F">
      <w:pPr>
        <w:tabs>
          <w:tab w:val="left" w:pos="720"/>
        </w:tabs>
        <w:autoSpaceDE w:val="0"/>
        <w:autoSpaceDN w:val="0"/>
        <w:adjustRightInd w:val="0"/>
        <w:ind w:left="360"/>
        <w:rPr>
          <w:color w:val="000000"/>
          <w:sz w:val="20"/>
          <w:szCs w:val="20"/>
        </w:rPr>
      </w:pPr>
    </w:p>
    <w:p w14:paraId="1216A01A" w14:textId="63077129" w:rsidR="00A9721F" w:rsidRPr="00A84CF2" w:rsidRDefault="00A9721F" w:rsidP="00A9721F">
      <w:pPr>
        <w:pStyle w:val="BodyTextIndent"/>
        <w:ind w:firstLine="0"/>
        <w:jc w:val="left"/>
        <w:rPr>
          <w:b/>
          <w:color w:val="000000"/>
          <w:sz w:val="20"/>
          <w:szCs w:val="20"/>
          <w:u w:val="single"/>
        </w:rPr>
      </w:pPr>
      <w:r w:rsidRPr="00A84CF2">
        <w:rPr>
          <w:b/>
          <w:bCs/>
          <w:color w:val="000000"/>
          <w:sz w:val="20"/>
          <w:szCs w:val="20"/>
        </w:rPr>
        <w:t xml:space="preserve">Required documents should be uploaded to  </w:t>
      </w:r>
      <w:r w:rsidR="004F2236" w:rsidRPr="004F2236">
        <w:rPr>
          <w:b/>
          <w:bCs/>
          <w:color w:val="000000"/>
          <w:sz w:val="20"/>
          <w:szCs w:val="20"/>
        </w:rPr>
        <w:t>https://www.qewc.com/qewc/en/tenders/private/</w:t>
      </w:r>
    </w:p>
    <w:p w14:paraId="0908BFE5" w14:textId="2A6B8A93" w:rsidR="00A9721F" w:rsidRPr="00A84CF2" w:rsidRDefault="00A9721F" w:rsidP="00A9721F">
      <w:pPr>
        <w:pStyle w:val="BodyTextIndent"/>
        <w:ind w:firstLine="0"/>
        <w:jc w:val="left"/>
        <w:rPr>
          <w:b/>
          <w:bCs/>
          <w:sz w:val="20"/>
          <w:szCs w:val="20"/>
        </w:rPr>
      </w:pPr>
      <w:r w:rsidRPr="00A84CF2">
        <w:rPr>
          <w:b/>
          <w:color w:val="000000"/>
          <w:sz w:val="20"/>
          <w:szCs w:val="20"/>
        </w:rPr>
        <w:t xml:space="preserve">On </w:t>
      </w:r>
      <w:r w:rsidR="00453554" w:rsidRPr="00A84CF2">
        <w:rPr>
          <w:b/>
          <w:bCs/>
          <w:color w:val="000000"/>
          <w:sz w:val="20"/>
          <w:szCs w:val="20"/>
        </w:rPr>
        <w:t>20</w:t>
      </w:r>
      <w:r w:rsidRPr="00A84CF2">
        <w:rPr>
          <w:b/>
          <w:bCs/>
          <w:color w:val="000000"/>
          <w:sz w:val="20"/>
          <w:szCs w:val="20"/>
        </w:rPr>
        <w:t>-</w:t>
      </w:r>
      <w:r w:rsidR="00453554" w:rsidRPr="00A84CF2">
        <w:rPr>
          <w:b/>
          <w:bCs/>
          <w:color w:val="000000"/>
          <w:sz w:val="20"/>
          <w:szCs w:val="20"/>
        </w:rPr>
        <w:t>O</w:t>
      </w:r>
      <w:r w:rsidR="00A84CF2" w:rsidRPr="00A84CF2">
        <w:rPr>
          <w:b/>
          <w:bCs/>
          <w:color w:val="000000"/>
          <w:sz w:val="20"/>
          <w:szCs w:val="20"/>
        </w:rPr>
        <w:t>ctober</w:t>
      </w:r>
      <w:r w:rsidRPr="00A84CF2">
        <w:rPr>
          <w:b/>
          <w:bCs/>
          <w:color w:val="000000"/>
          <w:sz w:val="20"/>
          <w:szCs w:val="20"/>
        </w:rPr>
        <w:t>-2025.</w:t>
      </w:r>
    </w:p>
    <w:p w14:paraId="2FB65B61" w14:textId="77777777" w:rsidR="00A9721F" w:rsidRPr="00A84CF2" w:rsidRDefault="00A9721F" w:rsidP="00A9721F">
      <w:pPr>
        <w:autoSpaceDE w:val="0"/>
        <w:autoSpaceDN w:val="0"/>
        <w:adjustRightInd w:val="0"/>
        <w:rPr>
          <w:b/>
          <w:bCs/>
          <w:color w:val="000000"/>
          <w:sz w:val="20"/>
          <w:szCs w:val="20"/>
        </w:rPr>
      </w:pPr>
    </w:p>
    <w:p w14:paraId="01DC7202" w14:textId="326682EA" w:rsidR="00A9721F" w:rsidRPr="00A84CF2" w:rsidRDefault="00A9721F" w:rsidP="00A9721F">
      <w:pPr>
        <w:autoSpaceDE w:val="0"/>
        <w:autoSpaceDN w:val="0"/>
        <w:adjustRightInd w:val="0"/>
        <w:jc w:val="center"/>
        <w:rPr>
          <w:b/>
          <w:bCs/>
          <w:color w:val="000000"/>
          <w:sz w:val="20"/>
          <w:szCs w:val="20"/>
          <w:u w:val="single"/>
        </w:rPr>
      </w:pPr>
      <w:r w:rsidRPr="00A84CF2">
        <w:rPr>
          <w:b/>
          <w:bCs/>
          <w:color w:val="000000"/>
          <w:sz w:val="20"/>
          <w:szCs w:val="20"/>
        </w:rPr>
        <w:t xml:space="preserve">FOR MORE INFORMATION, PLEASE CONTACT US VIA EMAIL </w:t>
      </w:r>
      <w:r w:rsidR="00453554" w:rsidRPr="00A84CF2">
        <w:rPr>
          <w:b/>
          <w:bCs/>
          <w:color w:val="000000"/>
          <w:sz w:val="20"/>
          <w:szCs w:val="20"/>
          <w:u w:val="single"/>
        </w:rPr>
        <w:t>TENDERS@QEWC.COM</w:t>
      </w:r>
    </w:p>
    <w:p w14:paraId="03078CCF" w14:textId="77777777" w:rsidR="00A9721F" w:rsidRPr="00A84CF2" w:rsidRDefault="00A9721F" w:rsidP="00A9721F">
      <w:pPr>
        <w:spacing w:after="0"/>
        <w:rPr>
          <w:b/>
          <w:bCs/>
          <w:sz w:val="20"/>
          <w:szCs w:val="20"/>
        </w:rPr>
      </w:pPr>
    </w:p>
    <w:p w14:paraId="601A1194" w14:textId="77777777" w:rsidR="00A9721F" w:rsidRPr="00A84CF2" w:rsidRDefault="00A9721F" w:rsidP="00A9721F">
      <w:pPr>
        <w:spacing w:after="0"/>
        <w:rPr>
          <w:b/>
          <w:bCs/>
          <w:sz w:val="20"/>
          <w:szCs w:val="20"/>
        </w:rPr>
      </w:pPr>
    </w:p>
    <w:p w14:paraId="21AD7F15" w14:textId="77777777" w:rsidR="00862E1A" w:rsidRPr="00A84CF2" w:rsidRDefault="00862E1A">
      <w:pPr>
        <w:rPr>
          <w:b/>
          <w:bCs/>
          <w:sz w:val="20"/>
          <w:szCs w:val="20"/>
        </w:rPr>
      </w:pPr>
    </w:p>
    <w:sectPr w:rsidR="00862E1A" w:rsidRPr="00A84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30E317C"/>
    <w:lvl w:ilvl="0">
      <w:numFmt w:val="bullet"/>
      <w:lvlText w:val="*"/>
      <w:lvlJc w:val="left"/>
    </w:lvl>
  </w:abstractNum>
  <w:abstractNum w:abstractNumId="1" w15:restartNumberingAfterBreak="0">
    <w:nsid w:val="03A57BEE"/>
    <w:multiLevelType w:val="hybridMultilevel"/>
    <w:tmpl w:val="78D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41718">
    <w:abstractNumId w:val="0"/>
    <w:lvlOverride w:ilvl="0">
      <w:lvl w:ilvl="0">
        <w:numFmt w:val="bullet"/>
        <w:lvlText w:val=""/>
        <w:legacy w:legacy="1" w:legacySpace="0" w:legacyIndent="0"/>
        <w:lvlJc w:val="left"/>
        <w:rPr>
          <w:rFonts w:ascii="Symbol" w:hAnsi="Symbol" w:hint="default"/>
          <w:sz w:val="22"/>
        </w:rPr>
      </w:lvl>
    </w:lvlOverride>
  </w:num>
  <w:num w:numId="2" w16cid:durableId="202501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1F"/>
    <w:rsid w:val="000F6AF5"/>
    <w:rsid w:val="00285F4D"/>
    <w:rsid w:val="002D5028"/>
    <w:rsid w:val="00453554"/>
    <w:rsid w:val="004F2236"/>
    <w:rsid w:val="0055599D"/>
    <w:rsid w:val="0066724F"/>
    <w:rsid w:val="00862E1A"/>
    <w:rsid w:val="0095710A"/>
    <w:rsid w:val="00A84CF2"/>
    <w:rsid w:val="00A9721F"/>
    <w:rsid w:val="00AF73F3"/>
    <w:rsid w:val="00B66C0F"/>
    <w:rsid w:val="00F500BA"/>
    <w:rsid w:val="00F8102A"/>
    <w:rsid w:val="00F83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80F1"/>
  <w15:chartTrackingRefBased/>
  <w15:docId w15:val="{B4A07D5C-E1B4-4C6B-91FA-4EB52D6A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1F"/>
  </w:style>
  <w:style w:type="paragraph" w:styleId="Heading1">
    <w:name w:val="heading 1"/>
    <w:basedOn w:val="Normal"/>
    <w:next w:val="Normal"/>
    <w:link w:val="Heading1Char"/>
    <w:uiPriority w:val="9"/>
    <w:qFormat/>
    <w:rsid w:val="00A972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972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72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972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972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97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2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972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721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721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9721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97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21F"/>
    <w:rPr>
      <w:rFonts w:eastAsiaTheme="majorEastAsia" w:cstheme="majorBidi"/>
      <w:color w:val="272727" w:themeColor="text1" w:themeTint="D8"/>
    </w:rPr>
  </w:style>
  <w:style w:type="paragraph" w:styleId="Title">
    <w:name w:val="Title"/>
    <w:basedOn w:val="Normal"/>
    <w:next w:val="Normal"/>
    <w:link w:val="TitleChar"/>
    <w:uiPriority w:val="10"/>
    <w:qFormat/>
    <w:rsid w:val="00A9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21F"/>
    <w:pPr>
      <w:spacing w:before="160"/>
      <w:jc w:val="center"/>
    </w:pPr>
    <w:rPr>
      <w:i/>
      <w:iCs/>
      <w:color w:val="404040" w:themeColor="text1" w:themeTint="BF"/>
    </w:rPr>
  </w:style>
  <w:style w:type="character" w:customStyle="1" w:styleId="QuoteChar">
    <w:name w:val="Quote Char"/>
    <w:basedOn w:val="DefaultParagraphFont"/>
    <w:link w:val="Quote"/>
    <w:uiPriority w:val="29"/>
    <w:rsid w:val="00A9721F"/>
    <w:rPr>
      <w:i/>
      <w:iCs/>
      <w:color w:val="404040" w:themeColor="text1" w:themeTint="BF"/>
    </w:rPr>
  </w:style>
  <w:style w:type="paragraph" w:styleId="ListParagraph">
    <w:name w:val="List Paragraph"/>
    <w:basedOn w:val="Normal"/>
    <w:uiPriority w:val="34"/>
    <w:qFormat/>
    <w:rsid w:val="00A9721F"/>
    <w:pPr>
      <w:ind w:left="720"/>
      <w:contextualSpacing/>
    </w:pPr>
  </w:style>
  <w:style w:type="character" w:styleId="IntenseEmphasis">
    <w:name w:val="Intense Emphasis"/>
    <w:basedOn w:val="DefaultParagraphFont"/>
    <w:uiPriority w:val="21"/>
    <w:qFormat/>
    <w:rsid w:val="00A9721F"/>
    <w:rPr>
      <w:i/>
      <w:iCs/>
      <w:color w:val="2E74B5" w:themeColor="accent1" w:themeShade="BF"/>
    </w:rPr>
  </w:style>
  <w:style w:type="paragraph" w:styleId="IntenseQuote">
    <w:name w:val="Intense Quote"/>
    <w:basedOn w:val="Normal"/>
    <w:next w:val="Normal"/>
    <w:link w:val="IntenseQuoteChar"/>
    <w:uiPriority w:val="30"/>
    <w:qFormat/>
    <w:rsid w:val="00A972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9721F"/>
    <w:rPr>
      <w:i/>
      <w:iCs/>
      <w:color w:val="2E74B5" w:themeColor="accent1" w:themeShade="BF"/>
    </w:rPr>
  </w:style>
  <w:style w:type="character" w:styleId="IntenseReference">
    <w:name w:val="Intense Reference"/>
    <w:basedOn w:val="DefaultParagraphFont"/>
    <w:uiPriority w:val="32"/>
    <w:qFormat/>
    <w:rsid w:val="00A9721F"/>
    <w:rPr>
      <w:b/>
      <w:bCs/>
      <w:smallCaps/>
      <w:color w:val="2E74B5" w:themeColor="accent1" w:themeShade="BF"/>
      <w:spacing w:val="5"/>
    </w:rPr>
  </w:style>
  <w:style w:type="paragraph" w:styleId="BodyTextIndent">
    <w:name w:val="Body Text Indent"/>
    <w:basedOn w:val="Normal"/>
    <w:link w:val="BodyTextIndentChar"/>
    <w:rsid w:val="00A9721F"/>
    <w:pPr>
      <w:spacing w:after="0" w:line="240" w:lineRule="auto"/>
      <w:ind w:hanging="60"/>
      <w:jc w:val="both"/>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A9721F"/>
    <w:rPr>
      <w:rFonts w:ascii="Times New Roman" w:eastAsia="Times New Roman" w:hAnsi="Times New Roman" w:cs="Times New Roman"/>
      <w:kern w:val="0"/>
      <w14:ligatures w14:val="none"/>
    </w:rPr>
  </w:style>
  <w:style w:type="character" w:styleId="Hyperlink">
    <w:name w:val="Hyperlink"/>
    <w:rsid w:val="00A9721F"/>
    <w:rPr>
      <w:color w:val="0000FF"/>
      <w:u w:val="single"/>
    </w:rPr>
  </w:style>
  <w:style w:type="character" w:styleId="UnresolvedMention">
    <w:name w:val="Unresolved Mention"/>
    <w:basedOn w:val="DefaultParagraphFont"/>
    <w:uiPriority w:val="99"/>
    <w:semiHidden/>
    <w:unhideWhenUsed/>
    <w:rsid w:val="0045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336</Words>
  <Characters>2129</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Charill Churakuth Jafu</dc:creator>
  <cp:keywords/>
  <dc:description/>
  <cp:lastModifiedBy>Nadir Lal Bakhsh</cp:lastModifiedBy>
  <cp:revision>5</cp:revision>
  <dcterms:created xsi:type="dcterms:W3CDTF">2025-10-14T09:27:00Z</dcterms:created>
  <dcterms:modified xsi:type="dcterms:W3CDTF">2025-10-18T05:47:00Z</dcterms:modified>
</cp:coreProperties>
</file>